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245"/>
        <w:gridCol w:w="5760"/>
      </w:tblGrid>
      <w:tr w:rsidR="00B26A42" w14:paraId="7C5559F2" w14:textId="77777777" w:rsidTr="00B26A42">
        <w:tc>
          <w:tcPr>
            <w:tcW w:w="4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3AAF5" w14:textId="663D3BB2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TRƯỜNG TH&amp;THCS TÂN HỘI</w:t>
            </w:r>
          </w:p>
          <w:p w14:paraId="19794B68" w14:textId="6656EA2A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B89F9" wp14:editId="3D30163F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166370</wp:posOffset>
                      </wp:positionV>
                      <wp:extent cx="657225" cy="9525"/>
                      <wp:effectExtent l="0" t="0" r="28575" b="28575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A00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3.1pt" to="131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14:ligatures w14:val="standardContextual"/>
              </w:rPr>
              <w:t>TỔ XÃ HỘI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E8E40" w14:textId="77777777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14:ligatures w14:val="standardContextual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kern w:val="2"/>
                    <w:sz w:val="24"/>
                    <w14:ligatures w14:val="standardContextual"/>
                  </w:rPr>
                  <w:t>NAM</w:t>
                </w:r>
              </w:smartTag>
            </w:smartTag>
          </w:p>
          <w:p w14:paraId="29B4134E" w14:textId="503DC161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9082D" wp14:editId="4FB0E49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203835</wp:posOffset>
                      </wp:positionV>
                      <wp:extent cx="204470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63C4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6.05pt" to="221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phúc</w:t>
            </w:r>
            <w:proofErr w:type="spellEnd"/>
          </w:p>
        </w:tc>
      </w:tr>
      <w:tr w:rsidR="00B26A42" w14:paraId="69F17AB2" w14:textId="77777777" w:rsidTr="00B26A42">
        <w:tc>
          <w:tcPr>
            <w:tcW w:w="4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851C" w14:textId="77777777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14:ligatures w14:val="standardContextual"/>
              </w:rPr>
            </w:pP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76819" w14:textId="77777777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14:ligatures w14:val="standardContextual"/>
              </w:rPr>
            </w:pPr>
          </w:p>
        </w:tc>
      </w:tr>
      <w:tr w:rsidR="00B26A42" w14:paraId="5CAC4609" w14:textId="77777777" w:rsidTr="00B26A42">
        <w:tc>
          <w:tcPr>
            <w:tcW w:w="424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CE2EA" w14:textId="264A39F8" w:rsidR="00B26A42" w:rsidRDefault="00B26A4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02/KH-TXH</w:t>
            </w:r>
          </w:p>
        </w:tc>
        <w:tc>
          <w:tcPr>
            <w:tcW w:w="57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A2C8F" w14:textId="60FD7CE6" w:rsidR="00B26A42" w:rsidRDefault="00B26A42" w:rsidP="00B26A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               Tân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 2024</w:t>
            </w:r>
            <w:proofErr w:type="gramEnd"/>
          </w:p>
        </w:tc>
      </w:tr>
    </w:tbl>
    <w:p w14:paraId="5807AA2C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</w:p>
    <w:p w14:paraId="39185132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 HOẠCH</w:t>
      </w:r>
    </w:p>
    <w:p w14:paraId="74EFC4A0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BHMH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– 2025</w:t>
      </w:r>
    </w:p>
    <w:p w14:paraId="2D5729AF" w14:textId="2373CDBE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B5D59" wp14:editId="259D6D38">
                <wp:simplePos x="0" y="0"/>
                <wp:positionH relativeFrom="column">
                  <wp:posOffset>2482850</wp:posOffset>
                </wp:positionH>
                <wp:positionV relativeFrom="paragraph">
                  <wp:posOffset>38100</wp:posOffset>
                </wp:positionV>
                <wp:extent cx="80010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69E1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3pt" to="258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r1tdvNwAAAAHAQAADwAAAAAAAAAAAAAAAAAHBAAAZHJzL2Rvd25yZXYueG1s&#10;UEsFBgAAAAAEAAQA8wAAABAFAAAAAA==&#10;"/>
            </w:pict>
          </mc:Fallback>
        </mc:AlternateContent>
      </w:r>
    </w:p>
    <w:p w14:paraId="03E6E649" w14:textId="77777777" w:rsidR="00B26A42" w:rsidRDefault="00B26A42" w:rsidP="00B26A42">
      <w:pPr>
        <w:spacing w:after="0"/>
        <w:ind w:firstLine="513"/>
        <w:jc w:val="both"/>
        <w:rPr>
          <w:color w:val="000000"/>
          <w:sz w:val="28"/>
          <w:szCs w:val="28"/>
          <w:highlight w:val="white"/>
          <w:lang w:val="af-ZA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Căn cứ </w:t>
      </w:r>
      <w:r>
        <w:rPr>
          <w:rFonts w:ascii="Times New Roman" w:hAnsi="Times New Roman"/>
          <w:color w:val="000000"/>
          <w:sz w:val="28"/>
          <w:szCs w:val="28"/>
          <w:lang w:val="nb-NO"/>
        </w:rPr>
        <w:t>c</w:t>
      </w:r>
      <w:r>
        <w:rPr>
          <w:rFonts w:ascii="Times New Roman" w:hAnsi="Times New Roman"/>
          <w:iCs/>
          <w:color w:val="000000"/>
          <w:sz w:val="28"/>
          <w:szCs w:val="28"/>
          <w:lang w:val="nb-NO"/>
        </w:rPr>
        <w:t xml:space="preserve">ông văn </w:t>
      </w:r>
      <w:r>
        <w:rPr>
          <w:rFonts w:ascii="Times New Roman" w:hAnsi="Times New Roman"/>
          <w:color w:val="000000"/>
          <w:sz w:val="28"/>
          <w:szCs w:val="28"/>
          <w:lang w:val="nb-NO"/>
        </w:rPr>
        <w:t>Số: 5555/BGDĐT-GDTrH ngày 08 tháng 10 năm 2014 về việc hướng dẫn sinh hoạt chuyên môn về đổi mới phương pháp dạy học và kiểm tra, đánh giá; tổ chức và quản lí các hoạt động chuyên môn của trường trung học;</w:t>
      </w:r>
      <w:r>
        <w:rPr>
          <w:color w:val="000000"/>
          <w:sz w:val="28"/>
          <w:szCs w:val="28"/>
          <w:highlight w:val="white"/>
          <w:lang w:val="af-ZA"/>
        </w:rPr>
        <w:t xml:space="preserve"> </w:t>
      </w:r>
    </w:p>
    <w:p w14:paraId="4C1D2B7A" w14:textId="7FE7ED7E" w:rsidR="00B26A42" w:rsidRDefault="00B26A42" w:rsidP="00B26A42">
      <w:pPr>
        <w:widowControl w:val="0"/>
        <w:spacing w:after="0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val="af-ZA"/>
        </w:rPr>
      </w:pPr>
      <w:r>
        <w:rPr>
          <w:rFonts w:ascii="Times New Roman" w:hAnsi="Times New Roman"/>
          <w:iCs/>
          <w:color w:val="000000"/>
          <w:sz w:val="28"/>
          <w:szCs w:val="28"/>
          <w:lang w:val="af-ZA"/>
        </w:rPr>
        <w:t>Căn cứ Quyết định số 2275/QĐ-UBND, ngày 13 tháng 8 năm 2024 của Ủy ban nhân dân tỉnh Kiên Giang V/v ban hành khung kế hoạch thời gian năm học 2024 – 2025 của giáo dục mầm non, giáo dục phổ thông và giáo dục thường xuyên;</w:t>
      </w:r>
    </w:p>
    <w:p w14:paraId="1619C090" w14:textId="77777777" w:rsidR="00B26A42" w:rsidRDefault="00B26A42" w:rsidP="00B26A4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af-ZA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Căn cứ hoạch số </w:t>
      </w:r>
      <w:r>
        <w:rPr>
          <w:rFonts w:ascii="Times New Roman" w:hAnsi="Times New Roman"/>
          <w:sz w:val="28"/>
          <w:szCs w:val="28"/>
          <w:lang w:val="af-ZA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/KH</w:t>
      </w:r>
      <w:r>
        <w:rPr>
          <w:rFonts w:ascii="Times New Roman" w:hAnsi="Times New Roman"/>
          <w:sz w:val="28"/>
          <w:szCs w:val="28"/>
          <w:lang w:val="af-ZA"/>
        </w:rPr>
        <w:t>-TH&amp;</w:t>
      </w:r>
      <w:r>
        <w:rPr>
          <w:rFonts w:ascii="Times New Roman" w:hAnsi="Times New Roman"/>
          <w:sz w:val="28"/>
          <w:szCs w:val="28"/>
          <w:lang w:val="vi-VN"/>
        </w:rPr>
        <w:t>THCS</w:t>
      </w:r>
      <w:r>
        <w:rPr>
          <w:rFonts w:ascii="Times New Roman" w:hAnsi="Times New Roman"/>
          <w:sz w:val="28"/>
          <w:szCs w:val="28"/>
          <w:lang w:val="af-ZA"/>
        </w:rPr>
        <w:t>TH</w:t>
      </w:r>
      <w:r>
        <w:rPr>
          <w:rFonts w:ascii="Times New Roman" w:hAnsi="Times New Roman"/>
          <w:color w:val="FF0000"/>
          <w:sz w:val="28"/>
          <w:szCs w:val="28"/>
          <w:lang w:val="af-ZA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 ngày </w:t>
      </w:r>
      <w:r>
        <w:rPr>
          <w:rFonts w:ascii="Times New Roman" w:hAnsi="Times New Roman"/>
          <w:sz w:val="28"/>
          <w:szCs w:val="28"/>
          <w:lang w:val="af-ZA"/>
        </w:rPr>
        <w:t xml:space="preserve"> 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lang w:val="af-ZA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tháng </w:t>
      </w:r>
      <w:r>
        <w:rPr>
          <w:rFonts w:ascii="Times New Roman" w:hAnsi="Times New Roman"/>
          <w:sz w:val="28"/>
          <w:szCs w:val="28"/>
          <w:lang w:val="af-ZA"/>
        </w:rPr>
        <w:t xml:space="preserve">8 </w:t>
      </w:r>
      <w:r>
        <w:rPr>
          <w:rFonts w:ascii="Times New Roman" w:hAnsi="Times New Roman"/>
          <w:sz w:val="28"/>
          <w:szCs w:val="28"/>
          <w:lang w:val="vi-VN"/>
        </w:rPr>
        <w:t>năm 202</w:t>
      </w:r>
      <w:r>
        <w:rPr>
          <w:rFonts w:ascii="Times New Roman" w:hAnsi="Times New Roman"/>
          <w:sz w:val="28"/>
          <w:szCs w:val="28"/>
          <w:lang w:val="af-ZA"/>
        </w:rPr>
        <w:t>4</w:t>
      </w:r>
      <w:r>
        <w:rPr>
          <w:rFonts w:ascii="Times New Roman" w:hAnsi="Times New Roman"/>
          <w:sz w:val="28"/>
          <w:szCs w:val="28"/>
          <w:lang w:val="vi-VN"/>
        </w:rPr>
        <w:t xml:space="preserve"> của </w:t>
      </w:r>
      <w:r>
        <w:rPr>
          <w:rFonts w:ascii="Times New Roman" w:hAnsi="Times New Roman"/>
          <w:sz w:val="28"/>
          <w:szCs w:val="28"/>
          <w:lang w:val="af-ZA"/>
        </w:rPr>
        <w:t>H</w:t>
      </w:r>
      <w:r>
        <w:rPr>
          <w:rFonts w:ascii="Times New Roman" w:hAnsi="Times New Roman"/>
          <w:sz w:val="28"/>
          <w:szCs w:val="28"/>
          <w:lang w:val="vi-VN"/>
        </w:rPr>
        <w:t xml:space="preserve">iệu trưởng trường </w:t>
      </w:r>
      <w:r>
        <w:rPr>
          <w:rFonts w:ascii="Times New Roman" w:hAnsi="Times New Roman"/>
          <w:sz w:val="28"/>
          <w:szCs w:val="28"/>
          <w:lang w:val="af-ZA"/>
        </w:rPr>
        <w:t>TH&amp;</w:t>
      </w:r>
      <w:r>
        <w:rPr>
          <w:rFonts w:ascii="Times New Roman" w:hAnsi="Times New Roman"/>
          <w:sz w:val="28"/>
          <w:szCs w:val="28"/>
          <w:lang w:val="vi-VN"/>
        </w:rPr>
        <w:t>THCS T</w:t>
      </w:r>
      <w:r>
        <w:rPr>
          <w:rFonts w:ascii="Times New Roman" w:hAnsi="Times New Roman"/>
          <w:sz w:val="28"/>
          <w:szCs w:val="28"/>
          <w:lang w:val="af-ZA"/>
        </w:rPr>
        <w:t xml:space="preserve">ân Hội </w:t>
      </w:r>
      <w:r>
        <w:rPr>
          <w:rFonts w:ascii="Times New Roman" w:hAnsi="Times New Roman"/>
          <w:sz w:val="28"/>
          <w:szCs w:val="28"/>
          <w:lang w:val="vi-VN"/>
        </w:rPr>
        <w:t>V/v kế hoạch giáo dục nhà trường năm học 202</w:t>
      </w:r>
      <w:r>
        <w:rPr>
          <w:rFonts w:ascii="Times New Roman" w:hAnsi="Times New Roman"/>
          <w:sz w:val="28"/>
          <w:szCs w:val="28"/>
          <w:lang w:val="af-ZA"/>
        </w:rPr>
        <w:t xml:space="preserve">4 </w:t>
      </w:r>
      <w:r>
        <w:rPr>
          <w:rFonts w:ascii="Times New Roman" w:hAnsi="Times New Roman"/>
          <w:sz w:val="28"/>
          <w:szCs w:val="28"/>
          <w:lang w:val="vi-VN"/>
        </w:rPr>
        <w:t>-202</w:t>
      </w:r>
      <w:r>
        <w:rPr>
          <w:rFonts w:ascii="Times New Roman" w:hAnsi="Times New Roman"/>
          <w:sz w:val="28"/>
          <w:szCs w:val="28"/>
          <w:lang w:val="af-ZA"/>
        </w:rPr>
        <w:t>5.</w:t>
      </w:r>
    </w:p>
    <w:p w14:paraId="74FD1499" w14:textId="4181F2C8" w:rsidR="00B26A42" w:rsidRDefault="00B26A42" w:rsidP="00B26A42">
      <w:pPr>
        <w:tabs>
          <w:tab w:val="left" w:pos="660"/>
          <w:tab w:val="center" w:pos="4677"/>
        </w:tabs>
        <w:spacing w:after="0"/>
        <w:ind w:hanging="3"/>
        <w:jc w:val="both"/>
        <w:rPr>
          <w:rFonts w:ascii="Times New Roman" w:hAnsi="Times New Roman"/>
          <w:sz w:val="28"/>
          <w:szCs w:val="28"/>
          <w:lang w:val="af-ZA"/>
        </w:rPr>
      </w:pPr>
      <w:bookmarkStart w:id="0" w:name="_Hlk80800821"/>
      <w:r>
        <w:rPr>
          <w:rFonts w:ascii="Times New Roman" w:hAnsi="Times New Roman"/>
          <w:sz w:val="28"/>
          <w:szCs w:val="28"/>
          <w:lang w:val="vi-VN"/>
        </w:rPr>
        <w:tab/>
      </w:r>
      <w:bookmarkEnd w:id="0"/>
      <w:r>
        <w:rPr>
          <w:rFonts w:ascii="Times New Roman" w:hAnsi="Times New Roman"/>
          <w:i/>
          <w:color w:val="000000"/>
          <w:sz w:val="28"/>
          <w:szCs w:val="28"/>
          <w:lang w:val="af-ZA"/>
        </w:rPr>
        <w:tab/>
      </w:r>
      <w:r>
        <w:rPr>
          <w:rFonts w:ascii="Times New Roman" w:hAnsi="Times New Roman"/>
          <w:i/>
          <w:color w:val="000000"/>
          <w:sz w:val="28"/>
          <w:szCs w:val="28"/>
          <w:lang w:val="af-ZA"/>
        </w:rPr>
        <w:tab/>
      </w:r>
      <w:r>
        <w:rPr>
          <w:rFonts w:ascii="Times New Roman" w:hAnsi="Times New Roman"/>
          <w:color w:val="000000"/>
          <w:sz w:val="28"/>
          <w:szCs w:val="28"/>
          <w:lang w:val="af-ZA"/>
        </w:rPr>
        <w:t xml:space="preserve">Căn cứ vào phân công nhiệm vụ năm học của nhà trường. Tổ Xã Hội </w:t>
      </w:r>
      <w:r>
        <w:rPr>
          <w:rFonts w:ascii="Times New Roman" w:hAnsi="Times New Roman"/>
          <w:sz w:val="28"/>
          <w:szCs w:val="28"/>
          <w:lang w:val="af-ZA"/>
        </w:rPr>
        <w:t>xây dựng kế hoạch dự giờ, chuyên đề, BHMH năm học 2024 -2025 như sau.</w:t>
      </w:r>
    </w:p>
    <w:p w14:paraId="2C0C2BF1" w14:textId="77777777" w:rsidR="00B26A42" w:rsidRDefault="00B26A42" w:rsidP="00B26A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MỤC ĐÍCH, YÊU CẦU</w:t>
      </w:r>
    </w:p>
    <w:p w14:paraId="69FE87DA" w14:textId="77777777" w:rsidR="00B26A42" w:rsidRDefault="00B26A42" w:rsidP="00B26A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đích</w:t>
      </w:r>
      <w:proofErr w:type="spellEnd"/>
    </w:p>
    <w:p w14:paraId="64AEA516" w14:textId="22A4406B" w:rsidR="00B26A42" w:rsidRDefault="00B26A42" w:rsidP="00B26A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vướng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00369A" w14:textId="77777777" w:rsidR="00B26A42" w:rsidRDefault="00B26A42" w:rsidP="00B26A4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 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23B8437" w14:textId="22AA0238" w:rsidR="00B26A42" w:rsidRDefault="00B26A42" w:rsidP="00B26A4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SHCM </w:t>
      </w:r>
      <w:proofErr w:type="spellStart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04C1CC0" w14:textId="09E6C520" w:rsidR="00B26A42" w:rsidRDefault="00B26A42" w:rsidP="00B26A4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pẩm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F7EBCF" w14:textId="77777777" w:rsidR="00B26A42" w:rsidRDefault="00B26A42" w:rsidP="00B26A4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cầu</w:t>
      </w:r>
      <w:proofErr w:type="spellEnd"/>
    </w:p>
    <w:p w14:paraId="6C1E39FD" w14:textId="752510B2" w:rsidR="00B26A42" w:rsidRDefault="00B26A42" w:rsidP="00B26A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A39E49" w14:textId="77777777" w:rsidR="00B26A42" w:rsidRDefault="00B26A42" w:rsidP="00B26A4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gắn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BDTX, BHMH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5FC4EA1" w14:textId="77777777" w:rsidR="00B26A42" w:rsidRDefault="00B26A42" w:rsidP="00B26A4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Việc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BHMH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B6156D8" w14:textId="77777777" w:rsidR="00B26A42" w:rsidRDefault="00B26A42" w:rsidP="00BD557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NỘI DUNG</w:t>
      </w:r>
    </w:p>
    <w:p w14:paraId="604D8CEF" w14:textId="1820FF97" w:rsidR="00B26A42" w:rsidRDefault="00B26A42" w:rsidP="00BD5574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GV: </w:t>
      </w:r>
    </w:p>
    <w:p w14:paraId="1A249F64" w14:textId="29FE8616" w:rsidR="00B26A42" w:rsidRDefault="00B26A42" w:rsidP="00BD5574">
      <w:pPr>
        <w:pStyle w:val="ListParagraph"/>
        <w:shd w:val="clear" w:color="auto" w:fill="FFFFFF"/>
        <w:spacing w:after="0"/>
        <w:ind w:left="1080" w:hanging="51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4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kì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A038EC1" w14:textId="2C511D79" w:rsidR="00B26A42" w:rsidRPr="00BD5574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574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>:</w:t>
      </w:r>
    </w:p>
    <w:p w14:paraId="45884A45" w14:textId="77777777" w:rsidR="00B26A42" w:rsidRPr="00BD5574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57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</w:p>
    <w:p w14:paraId="18960FD6" w14:textId="77777777" w:rsidR="00B26A42" w:rsidRDefault="00B26A42" w:rsidP="00BD5574">
      <w:pPr>
        <w:pStyle w:val="ListParagraph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EA4541" w14:textId="77777777" w:rsidR="00B26A42" w:rsidRPr="00BD5574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57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696FB783" w14:textId="77777777" w:rsidR="00B26A42" w:rsidRPr="00BD5574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57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4: Trao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074835A1" w14:textId="77777777" w:rsidR="00BD5574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57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D5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574"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14:paraId="15B297FA" w14:textId="783E170F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7D1EC5" w14:textId="77777777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 Sinh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</w:p>
    <w:p w14:paraId="7E125A4F" w14:textId="40C76D6F" w:rsidR="00B26A42" w:rsidRDefault="00B26A42" w:rsidP="00B26A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5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/HK</w:t>
      </w:r>
    </w:p>
    <w:p w14:paraId="4EC5FAD7" w14:textId="7683DD85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Thông báo nội dung thảo luận đến các thành viên trong tổ trước 1 tuần để giáo viên có sự chuẩn bị chu đáo.</w:t>
      </w:r>
    </w:p>
    <w:p w14:paraId="1C34F2DC" w14:textId="4AA64F36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nl-NL"/>
        </w:rPr>
        <w:t>Tổ chức sinh hoạt, thảo luận, thống nhất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dung,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14:paraId="365592DA" w14:textId="2B925F3C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EF8021" w14:textId="77777777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họa</w:t>
      </w:r>
      <w:proofErr w:type="spellEnd"/>
    </w:p>
    <w:p w14:paraId="7E1317AC" w14:textId="175D352E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BHMH: 02 BHMH/HK</w:t>
      </w:r>
    </w:p>
    <w:p w14:paraId="3D802FB3" w14:textId="0BF2650C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BHMH,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F995189" w14:textId="67AF3E78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7D9C71E" w14:textId="18AAB0B1" w:rsidR="00B26A42" w:rsidRDefault="00B26A42" w:rsidP="00BD557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dạy,việc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8B89548" w14:textId="77777777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III. TỔ CHỨC THỰC HIỆN</w:t>
      </w:r>
    </w:p>
    <w:p w14:paraId="6D70B7E4" w14:textId="30B2A656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môn</w:t>
      </w:r>
      <w:proofErr w:type="spellEnd"/>
    </w:p>
    <w:p w14:paraId="184B90C1" w14:textId="6B0C23D2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BHMH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7932A0F" w14:textId="3DF6F112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</w:p>
    <w:p w14:paraId="13C176B7" w14:textId="7FC8A875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FEC3FF5" w14:textId="4CFACD66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55E7E55" w14:textId="49996236" w:rsidR="00B26A42" w:rsidRDefault="00B26A42" w:rsidP="00B26A4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đóng</w:t>
      </w:r>
      <w:proofErr w:type="spellEnd"/>
      <w:r w:rsid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góp</w:t>
      </w:r>
      <w:proofErr w:type="spellEnd"/>
      <w:r w:rsid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nâng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giảng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7ABE24E" w14:textId="65F0C036" w:rsidR="00293C68" w:rsidRPr="00293C68" w:rsidRDefault="00293C68" w:rsidP="00293C6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Lịch</w:t>
      </w:r>
      <w:proofErr w:type="spellEnd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trình</w:t>
      </w:r>
      <w:proofErr w:type="spellEnd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cụ</w:t>
      </w:r>
      <w:proofErr w:type="spellEnd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thể</w:t>
      </w:r>
      <w:proofErr w:type="spellEnd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CA60CBA" w14:textId="19B0E49E" w:rsidR="00293C68" w:rsidRPr="00293C68" w:rsidRDefault="00293C68" w:rsidP="00293C6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3.1. </w:t>
      </w:r>
      <w:proofErr w:type="spellStart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Chuyên</w:t>
      </w:r>
      <w:proofErr w:type="spellEnd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93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29"/>
        <w:gridCol w:w="2777"/>
        <w:gridCol w:w="2924"/>
      </w:tblGrid>
      <w:tr w:rsidR="00293C68" w14:paraId="070C82ED" w14:textId="77777777" w:rsidTr="00BF0720">
        <w:tc>
          <w:tcPr>
            <w:tcW w:w="3229" w:type="dxa"/>
          </w:tcPr>
          <w:p w14:paraId="18FDF4E9" w14:textId="794999A0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777" w:type="dxa"/>
          </w:tcPr>
          <w:p w14:paraId="61A9487D" w14:textId="5121F8A0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924" w:type="dxa"/>
          </w:tcPr>
          <w:p w14:paraId="364EC5F1" w14:textId="6D838FDC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3C68" w14:paraId="619FB3D1" w14:textId="77777777" w:rsidTr="00BF0720">
        <w:tc>
          <w:tcPr>
            <w:tcW w:w="3229" w:type="dxa"/>
          </w:tcPr>
          <w:p w14:paraId="627CE24B" w14:textId="18AAC0C3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2777" w:type="dxa"/>
          </w:tcPr>
          <w:p w14:paraId="6C025068" w14:textId="115BA8A6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Thu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924" w:type="dxa"/>
          </w:tcPr>
          <w:p w14:paraId="2FD38B9C" w14:textId="01243DE0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</w:p>
        </w:tc>
      </w:tr>
      <w:tr w:rsidR="00293C68" w14:paraId="1A227C00" w14:textId="77777777" w:rsidTr="00BF0720">
        <w:tc>
          <w:tcPr>
            <w:tcW w:w="3229" w:type="dxa"/>
          </w:tcPr>
          <w:p w14:paraId="597E879A" w14:textId="1925E1BA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2777" w:type="dxa"/>
          </w:tcPr>
          <w:p w14:paraId="66250A64" w14:textId="3434435E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Sơn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Na Rin</w:t>
            </w:r>
          </w:p>
        </w:tc>
        <w:tc>
          <w:tcPr>
            <w:tcW w:w="2924" w:type="dxa"/>
          </w:tcPr>
          <w:p w14:paraId="360C8A4D" w14:textId="22D0B063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</w:p>
        </w:tc>
      </w:tr>
    </w:tbl>
    <w:p w14:paraId="4532BB8F" w14:textId="7637BA9D" w:rsidR="00293C68" w:rsidRDefault="00293C68" w:rsidP="00293C6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3.2. BHMH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1701"/>
        <w:gridCol w:w="3685"/>
        <w:gridCol w:w="1843"/>
        <w:gridCol w:w="1701"/>
      </w:tblGrid>
      <w:tr w:rsidR="00293C68" w14:paraId="36088316" w14:textId="77777777" w:rsidTr="00BF0720">
        <w:tc>
          <w:tcPr>
            <w:tcW w:w="1701" w:type="dxa"/>
          </w:tcPr>
          <w:p w14:paraId="6ABA1A0C" w14:textId="1A4A1A1E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3685" w:type="dxa"/>
          </w:tcPr>
          <w:p w14:paraId="008633ED" w14:textId="37FEA9C1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843" w:type="dxa"/>
          </w:tcPr>
          <w:p w14:paraId="3782BE59" w14:textId="10A35569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701" w:type="dxa"/>
          </w:tcPr>
          <w:p w14:paraId="2DCD3F77" w14:textId="0319CBAB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chú</w:t>
            </w:r>
            <w:proofErr w:type="spellEnd"/>
          </w:p>
        </w:tc>
      </w:tr>
      <w:tr w:rsidR="00293C68" w14:paraId="2C124BC4" w14:textId="77777777" w:rsidTr="00BF0720">
        <w:tc>
          <w:tcPr>
            <w:tcW w:w="1701" w:type="dxa"/>
          </w:tcPr>
          <w:p w14:paraId="7F3467AE" w14:textId="797556E6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3685" w:type="dxa"/>
          </w:tcPr>
          <w:p w14:paraId="137C6B1E" w14:textId="77777777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Phan Văn Long</w:t>
            </w:r>
          </w:p>
          <w:p w14:paraId="187A7B7E" w14:textId="07B200FC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Nguyễn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Kiều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Oanh</w:t>
            </w:r>
          </w:p>
        </w:tc>
        <w:tc>
          <w:tcPr>
            <w:tcW w:w="1843" w:type="dxa"/>
          </w:tcPr>
          <w:p w14:paraId="2DE05F3A" w14:textId="77ACBC48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1701" w:type="dxa"/>
          </w:tcPr>
          <w:p w14:paraId="13B1EE5E" w14:textId="77777777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93C68" w14:paraId="051E3B97" w14:textId="77777777" w:rsidTr="00BF0720">
        <w:tc>
          <w:tcPr>
            <w:tcW w:w="1701" w:type="dxa"/>
          </w:tcPr>
          <w:p w14:paraId="5014D919" w14:textId="5D096789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2BA885E7" w14:textId="77777777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Hoàng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Hồng</w:t>
            </w:r>
            <w:proofErr w:type="spellEnd"/>
          </w:p>
          <w:p w14:paraId="4AD97D95" w14:textId="2BDF8911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Diễm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43" w:type="dxa"/>
          </w:tcPr>
          <w:p w14:paraId="14B38D61" w14:textId="0F7F60CB" w:rsidR="00293C68" w:rsidRP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</w:p>
        </w:tc>
        <w:tc>
          <w:tcPr>
            <w:tcW w:w="1701" w:type="dxa"/>
          </w:tcPr>
          <w:p w14:paraId="47438A52" w14:textId="77777777" w:rsidR="00293C68" w:rsidRDefault="00293C68" w:rsidP="00293C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521650A" w14:textId="3A3B402E" w:rsidR="00B26A42" w:rsidRPr="00293C68" w:rsidRDefault="00B26A42" w:rsidP="00293C6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Trên đây là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 xml:space="preserve"> chuyên đề</w:t>
      </w:r>
      <w:r w:rsid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, BHMH của tổ Xã Hội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2024 - 2025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 xml:space="preserve">. đề nghị các </w:t>
      </w:r>
      <w:r w:rsid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>thành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pt-BR"/>
        </w:rPr>
        <w:t xml:space="preserve"> viên nghiêm túc thực hiện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. Trong quá trình thực hiện, nếu có </w:t>
      </w:r>
      <w:r w:rsidR="00293C68" w:rsidRPr="00293C6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thay đổi sẽ thông báo sau.</w:t>
      </w:r>
    </w:p>
    <w:p w14:paraId="6D2DE228" w14:textId="77777777" w:rsidR="00B26A42" w:rsidRDefault="00B26A42" w:rsidP="00B26A4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14:paraId="144A1B36" w14:textId="77777777" w:rsidR="00B26A42" w:rsidRDefault="00B26A42" w:rsidP="00B26A42">
      <w:pPr>
        <w:spacing w:after="0"/>
        <w:jc w:val="both"/>
        <w:rPr>
          <w:rFonts w:ascii="Times New Roman" w:hAnsi="Times New Roman" w:cs="Times New Roman"/>
          <w:color w:val="000000" w:themeColor="text1"/>
          <w:lang w:val="nl-NL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nl-NL"/>
        </w:rPr>
        <w:t>Nơi nhận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color w:val="000000" w:themeColor="text1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lang w:val="nl-NL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                                 Người lập kế hoạch</w:t>
      </w:r>
    </w:p>
    <w:p w14:paraId="7A0291B3" w14:textId="309957A2" w:rsidR="00B26A42" w:rsidRDefault="00B26A42" w:rsidP="00B26A42">
      <w:pPr>
        <w:tabs>
          <w:tab w:val="left" w:pos="4446"/>
        </w:tabs>
        <w:spacing w:after="0"/>
        <w:rPr>
          <w:rFonts w:ascii="Times New Roman" w:hAnsi="Times New Roman" w:cs="Times New Roman"/>
          <w:color w:val="000000" w:themeColor="text1"/>
          <w:lang w:val="nl-NL"/>
        </w:rPr>
      </w:pPr>
      <w:r>
        <w:rPr>
          <w:rFonts w:ascii="Times New Roman" w:hAnsi="Times New Roman" w:cs="Times New Roman"/>
          <w:color w:val="000000" w:themeColor="text1"/>
          <w:lang w:val="nl-NL"/>
        </w:rPr>
        <w:t>- T</w:t>
      </w:r>
      <w:r w:rsidR="00293C68">
        <w:rPr>
          <w:rFonts w:ascii="Times New Roman" w:hAnsi="Times New Roman" w:cs="Times New Roman"/>
          <w:color w:val="000000" w:themeColor="text1"/>
          <w:lang w:val="nl-NL"/>
        </w:rPr>
        <w:t>XH</w:t>
      </w:r>
      <w:r>
        <w:rPr>
          <w:rFonts w:ascii="Times New Roman" w:hAnsi="Times New Roman" w:cs="Times New Roman"/>
          <w:color w:val="000000" w:themeColor="text1"/>
          <w:lang w:val="nl-NL"/>
        </w:rPr>
        <w:t xml:space="preserve"> ( thực hiện);-                                                                                                 </w:t>
      </w:r>
    </w:p>
    <w:p w14:paraId="3EBCEE1D" w14:textId="77777777" w:rsidR="00B26A42" w:rsidRDefault="00B26A42" w:rsidP="00B26A42">
      <w:pPr>
        <w:tabs>
          <w:tab w:val="left" w:pos="4446"/>
        </w:tabs>
        <w:spacing w:after="0"/>
        <w:jc w:val="both"/>
        <w:rPr>
          <w:rFonts w:ascii="Times New Roman" w:hAnsi="Times New Roman" w:cs="Times New Roman"/>
          <w:color w:val="000000" w:themeColor="text1"/>
          <w:lang w:val="nl-NL"/>
        </w:rPr>
      </w:pPr>
      <w:r>
        <w:rPr>
          <w:rFonts w:ascii="Times New Roman" w:hAnsi="Times New Roman" w:cs="Times New Roman"/>
          <w:color w:val="000000" w:themeColor="text1"/>
          <w:lang w:val="nl-NL"/>
        </w:rPr>
        <w:t>- Lưu: CM.</w:t>
      </w:r>
    </w:p>
    <w:p w14:paraId="7107A719" w14:textId="77777777" w:rsidR="00B26A42" w:rsidRDefault="00B26A42" w:rsidP="00B26A4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Cs w:val="28"/>
          <w:lang w:val="nl-NL"/>
        </w:rPr>
        <w:t xml:space="preserve">                                                                                           </w:t>
      </w:r>
    </w:p>
    <w:p w14:paraId="4DA25EBF" w14:textId="77777777" w:rsidR="00B26A42" w:rsidRDefault="00B26A42" w:rsidP="00B26A4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8"/>
          <w:lang w:val="nl-NL"/>
        </w:rPr>
      </w:pPr>
    </w:p>
    <w:p w14:paraId="6919982E" w14:textId="77777777" w:rsidR="00B26A42" w:rsidRDefault="00B26A42" w:rsidP="00B26A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                                                                              Nguyễn Thị Ngọc </w:t>
      </w:r>
    </w:p>
    <w:p w14:paraId="15F011E7" w14:textId="77777777" w:rsidR="00B26A42" w:rsidRDefault="00B26A42" w:rsidP="00B26A4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14:paraId="35EB81B1" w14:textId="77777777" w:rsidR="00B26A42" w:rsidRDefault="00B26A42" w:rsidP="00B26A42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</w:p>
    <w:p w14:paraId="26DB34AD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DUYỆT CỦA HIỆU TRƯỞNG</w:t>
      </w:r>
    </w:p>
    <w:p w14:paraId="42808E5D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14:paraId="58E2647E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14:paraId="71A79E2C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14:paraId="35D5A246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14:paraId="00362665" w14:textId="77777777" w:rsidR="00B26A42" w:rsidRDefault="00B26A42" w:rsidP="00B26A4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Lê Thanh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Liêm</w:t>
      </w:r>
      <w:proofErr w:type="spellEnd"/>
    </w:p>
    <w:p w14:paraId="386BA465" w14:textId="77777777" w:rsidR="00B26A42" w:rsidRDefault="00B26A42" w:rsidP="00B26A42">
      <w:pPr>
        <w:spacing w:after="0"/>
      </w:pPr>
    </w:p>
    <w:p w14:paraId="148E76E9" w14:textId="77777777" w:rsidR="00B26A42" w:rsidRDefault="00B26A42" w:rsidP="00B26A42">
      <w:pPr>
        <w:spacing w:after="0"/>
      </w:pPr>
    </w:p>
    <w:p w14:paraId="3C1AA4EB" w14:textId="77777777" w:rsidR="007874F4" w:rsidRDefault="007874F4"/>
    <w:sectPr w:rsidR="007874F4" w:rsidSect="00293C68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B06"/>
    <w:multiLevelType w:val="hybridMultilevel"/>
    <w:tmpl w:val="1FA673CE"/>
    <w:lvl w:ilvl="0" w:tplc="8A0EA6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53BE6"/>
    <w:multiLevelType w:val="hybridMultilevel"/>
    <w:tmpl w:val="235CD31C"/>
    <w:lvl w:ilvl="0" w:tplc="F91A20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364264"/>
    <w:multiLevelType w:val="hybridMultilevel"/>
    <w:tmpl w:val="F23A4B6C"/>
    <w:lvl w:ilvl="0" w:tplc="58005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9150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041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392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42"/>
    <w:rsid w:val="00293C68"/>
    <w:rsid w:val="007874F4"/>
    <w:rsid w:val="008A2ACE"/>
    <w:rsid w:val="008A7C9B"/>
    <w:rsid w:val="00B26A42"/>
    <w:rsid w:val="00BD5574"/>
    <w:rsid w:val="00BF0720"/>
    <w:rsid w:val="00F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765EAE6"/>
  <w15:chartTrackingRefBased/>
  <w15:docId w15:val="{718558BA-5B06-4DEA-AAE2-0F8EB5B1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42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42"/>
    <w:pPr>
      <w:ind w:left="720"/>
      <w:contextualSpacing/>
    </w:pPr>
  </w:style>
  <w:style w:type="table" w:styleId="TableGrid">
    <w:name w:val="Table Grid"/>
    <w:basedOn w:val="TableNormal"/>
    <w:uiPriority w:val="39"/>
    <w:rsid w:val="0029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BAB5-C597-42AF-BE80-14378F24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Nguyễn</dc:creator>
  <cp:keywords/>
  <dc:description/>
  <cp:lastModifiedBy>Ngọc Nguyễn</cp:lastModifiedBy>
  <cp:revision>2</cp:revision>
  <cp:lastPrinted>2024-10-06T09:23:00Z</cp:lastPrinted>
  <dcterms:created xsi:type="dcterms:W3CDTF">2024-10-29T08:26:00Z</dcterms:created>
  <dcterms:modified xsi:type="dcterms:W3CDTF">2024-10-29T08:26:00Z</dcterms:modified>
</cp:coreProperties>
</file>